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ind w:right="-59"/>
        <w:spacing w:after="0" w:line="213"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59"/>
        <w:spacing w:after="0" w:line="212" w:lineRule="auto"/>
        <w:rPr>
          <w:sz w:val="20"/>
          <w:szCs w:val="20"/>
          <w:color w:val="auto"/>
        </w:rPr>
      </w:pPr>
      <w:r>
        <w:rPr>
          <w:rFonts w:ascii="Times New Roman" w:cs="Times New Roman" w:eastAsia="Times New Roman" w:hAnsi="Times New Roman"/>
          <w:sz w:val="29"/>
          <w:szCs w:val="29"/>
          <w:b w:val="1"/>
          <w:bCs w:val="1"/>
          <w:color w:val="auto"/>
        </w:rPr>
        <w:t>Washington, D.C. 20549</w:t>
      </w:r>
    </w:p>
    <w:p>
      <w:pPr>
        <w:ind w:left="1420"/>
        <w:spacing w:after="0"/>
        <w:rPr>
          <w:sz w:val="20"/>
          <w:szCs w:val="20"/>
          <w:color w:val="auto"/>
        </w:rPr>
      </w:pPr>
      <w:r>
        <w:rPr>
          <w:rFonts w:ascii="Times New Roman" w:cs="Times New Roman" w:eastAsia="Times New Roman" w:hAnsi="Times New Roman"/>
          <w:sz w:val="21"/>
          <w:szCs w:val="21"/>
          <w:color w:val="auto"/>
        </w:rPr>
        <w:t>______________________________________________________________________________</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151"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21"/>
          <w:szCs w:val="21"/>
          <w:color w:val="auto"/>
        </w:rPr>
        <w:t>______________________________________________________________________________</w:t>
      </w: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1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ARRAY TECHNOLOGIES, INC.</w:t>
      </w:r>
    </w:p>
    <w:p>
      <w:pPr>
        <w:jc w:val="center"/>
        <w:ind w:right="-59"/>
        <w:spacing w:after="0"/>
        <w:rPr>
          <w:sz w:val="20"/>
          <w:szCs w:val="20"/>
          <w:color w:val="auto"/>
        </w:rPr>
      </w:pPr>
      <w:r>
        <w:rPr>
          <w:rFonts w:ascii="Times New Roman" w:cs="Times New Roman" w:eastAsia="Times New Roman" w:hAnsi="Times New Roman"/>
          <w:sz w:val="18"/>
          <w:szCs w:val="18"/>
          <w:color w:val="auto"/>
        </w:rPr>
        <w:t>(Exact name of the registrant as specified in its charter)</w:t>
      </w:r>
    </w:p>
    <w:p>
      <w:pPr>
        <w:sectPr>
          <w:pgSz w:w="11900" w:h="16838" w:orient="portrait"/>
          <w:cols w:equalWidth="0" w:num="1">
            <w:col w:w="11200"/>
          </w:cols>
          <w:pgMar w:left="320" w:top="1440" w:right="379" w:bottom="1440" w:gutter="0" w:footer="0" w:header="0"/>
        </w:sectPr>
      </w:pPr>
    </w:p>
    <w:p>
      <w:pPr>
        <w:spacing w:after="0" w:line="242"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001-39613</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83-2747826</w:t>
      </w:r>
    </w:p>
    <w:p>
      <w:pPr>
        <w:spacing w:after="0" w:line="37" w:lineRule="exact"/>
        <w:rPr>
          <w:sz w:val="24"/>
          <w:szCs w:val="24"/>
          <w:color w:val="auto"/>
        </w:rPr>
      </w:pPr>
    </w:p>
    <w:p>
      <w:pPr>
        <w:sectPr>
          <w:pgSz w:w="11900" w:h="16838" w:orient="portrait"/>
          <w:cols w:equalWidth="0" w:num="3">
            <w:col w:w="4680" w:space="720"/>
            <w:col w:w="2440" w:space="720"/>
            <w:col w:w="2640"/>
          </w:cols>
          <w:pgMar w:left="320" w:top="1440" w:right="379" w:bottom="1440" w:gutter="0" w:footer="0" w:header="0"/>
          <w:type w:val="continuous"/>
        </w:sectPr>
      </w:pPr>
    </w:p>
    <w:p>
      <w:pPr>
        <w:jc w:val="center"/>
        <w:ind w:right="840"/>
        <w:spacing w:after="0"/>
        <w:rPr>
          <w:sz w:val="20"/>
          <w:szCs w:val="20"/>
          <w:color w:val="auto"/>
        </w:rPr>
      </w:pPr>
      <w:r>
        <w:rPr>
          <w:rFonts w:ascii="Times New Roman" w:cs="Times New Roman" w:eastAsia="Times New Roman" w:hAnsi="Times New Roman"/>
          <w:sz w:val="14"/>
          <w:szCs w:val="14"/>
          <w:color w:val="auto"/>
        </w:rPr>
        <w:t>(State or other jurisdiction</w:t>
      </w:r>
    </w:p>
    <w:p>
      <w:pPr>
        <w:jc w:val="center"/>
        <w:ind w:right="840"/>
        <w:spacing w:after="0"/>
        <w:rPr>
          <w:sz w:val="20"/>
          <w:szCs w:val="20"/>
          <w:color w:val="auto"/>
        </w:rPr>
      </w:pPr>
      <w:r>
        <w:rPr>
          <w:rFonts w:ascii="Times New Roman" w:cs="Times New Roman" w:eastAsia="Times New Roman" w:hAnsi="Times New Roman"/>
          <w:sz w:val="14"/>
          <w:szCs w:val="14"/>
          <w:color w:val="auto"/>
        </w:rPr>
        <w:t>of incorporation or organization)</w:t>
      </w:r>
    </w:p>
    <w:p>
      <w:pPr>
        <w:spacing w:after="0" w:line="20" w:lineRule="exact"/>
        <w:rPr>
          <w:sz w:val="24"/>
          <w:szCs w:val="24"/>
          <w:color w:val="auto"/>
        </w:rPr>
      </w:pPr>
      <w:r>
        <w:rPr>
          <w:sz w:val="24"/>
          <w:szCs w:val="24"/>
          <w:color w:val="auto"/>
        </w:rPr>
        <w:br w:type="column"/>
      </w:r>
    </w:p>
    <w:p>
      <w:pPr>
        <w:jc w:val="center"/>
        <w:ind w:right="920"/>
        <w:spacing w:after="0"/>
        <w:rPr>
          <w:sz w:val="20"/>
          <w:szCs w:val="20"/>
          <w:color w:val="auto"/>
        </w:rPr>
      </w:pPr>
      <w:r>
        <w:rPr>
          <w:rFonts w:ascii="Times New Roman" w:cs="Times New Roman" w:eastAsia="Times New Roman" w:hAnsi="Times New Roman"/>
          <w:sz w:val="14"/>
          <w:szCs w:val="14"/>
          <w:color w:val="auto"/>
        </w:rPr>
        <w:t>(Commission File</w:t>
      </w:r>
    </w:p>
    <w:p>
      <w:pPr>
        <w:jc w:val="center"/>
        <w:ind w:right="920"/>
        <w:spacing w:after="0"/>
        <w:rPr>
          <w:sz w:val="20"/>
          <w:szCs w:val="20"/>
          <w:color w:val="auto"/>
        </w:rPr>
      </w:pPr>
      <w:r>
        <w:rPr>
          <w:rFonts w:ascii="Times New Roman" w:cs="Times New Roman" w:eastAsia="Times New Roman" w:hAnsi="Times New Roman"/>
          <w:sz w:val="14"/>
          <w:szCs w:val="14"/>
          <w:color w:val="auto"/>
        </w:rPr>
        <w:t>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355" w:lineRule="exact"/>
        <w:rPr>
          <w:sz w:val="24"/>
          <w:szCs w:val="24"/>
          <w:color w:val="auto"/>
        </w:rPr>
      </w:pPr>
    </w:p>
    <w:p>
      <w:pPr>
        <w:sectPr>
          <w:pgSz w:w="11900" w:h="16838" w:orient="portrait"/>
          <w:cols w:equalWidth="0" w:num="3">
            <w:col w:w="4540" w:space="720"/>
            <w:col w:w="1960" w:space="720"/>
            <w:col w:w="3260"/>
          </w:cols>
          <w:pgMar w:left="320" w:top="1440" w:right="379" w:bottom="1440" w:gutter="0" w:footer="0" w:header="0"/>
          <w:type w:val="continuous"/>
        </w:sectPr>
      </w:pPr>
    </w:p>
    <w:p>
      <w:pPr>
        <w:spacing w:after="0" w:line="285"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7"/>
          <w:szCs w:val="17"/>
          <w:b w:val="1"/>
          <w:bCs w:val="1"/>
          <w:color w:val="auto"/>
        </w:rPr>
        <w:t>3901 Midway Place NE, Albuquerque, New Mexico</w:t>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87109</w:t>
      </w:r>
    </w:p>
    <w:p>
      <w:pPr>
        <w:spacing w:after="0" w:line="43" w:lineRule="exact"/>
        <w:rPr>
          <w:sz w:val="24"/>
          <w:szCs w:val="24"/>
          <w:color w:val="auto"/>
        </w:rPr>
      </w:pPr>
    </w:p>
    <w:p>
      <w:pPr>
        <w:sectPr>
          <w:pgSz w:w="11900" w:h="16838" w:orient="portrait"/>
          <w:cols w:equalWidth="0" w:num="2">
            <w:col w:w="8520" w:space="720"/>
            <w:col w:w="1960"/>
          </w:cols>
          <w:pgMar w:left="320" w:top="1440" w:right="37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00" w:h="16838" w:orient="portrait"/>
          <w:cols w:equalWidth="0" w:num="2">
            <w:col w:w="8440" w:space="720"/>
            <w:col w:w="2040"/>
          </w:cols>
          <w:pgMar w:left="320" w:top="1440" w:right="379" w:bottom="1440" w:gutter="0" w:footer="0" w:header="0"/>
          <w:type w:val="continuous"/>
        </w:sectPr>
      </w:pPr>
    </w:p>
    <w:p>
      <w:pPr>
        <w:spacing w:after="0" w:line="6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Gina Gunning, Chief Legal Officer and Corporate Secretary</w:t>
      </w:r>
    </w:p>
    <w:p>
      <w:pPr>
        <w:jc w:val="center"/>
        <w:ind w:right="-39"/>
        <w:spacing w:after="0" w:line="225" w:lineRule="auto"/>
        <w:rPr>
          <w:sz w:val="20"/>
          <w:szCs w:val="20"/>
          <w:color w:val="auto"/>
        </w:rPr>
      </w:pPr>
      <w:r>
        <w:rPr>
          <w:rFonts w:ascii="Times New Roman" w:cs="Times New Roman" w:eastAsia="Times New Roman" w:hAnsi="Times New Roman"/>
          <w:sz w:val="18"/>
          <w:szCs w:val="18"/>
          <w:b w:val="1"/>
          <w:bCs w:val="1"/>
          <w:color w:val="auto"/>
        </w:rPr>
        <w:t>(505) 881-7567</w:t>
      </w:r>
    </w:p>
    <w:p>
      <w:pPr>
        <w:jc w:val="center"/>
        <w:ind w:right="-39"/>
        <w:spacing w:after="0"/>
        <w:rPr>
          <w:sz w:val="20"/>
          <w:szCs w:val="20"/>
          <w:color w:val="auto"/>
        </w:rPr>
      </w:pPr>
      <w:r>
        <w:rPr>
          <w:rFonts w:ascii="Times New Roman" w:cs="Times New Roman" w:eastAsia="Times New Roman" w:hAnsi="Times New Roman"/>
          <w:sz w:val="14"/>
          <w:szCs w:val="14"/>
          <w:color w:val="auto"/>
        </w:rPr>
        <w:t>(Name and telephone number, including area code,</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of the person to contact in connection with this report.)</w:t>
      </w:r>
    </w:p>
    <w:p>
      <w:pPr>
        <w:spacing w:after="0" w:line="205"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392"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144"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w:t>
      </w:r>
    </w:p>
    <w:p>
      <w:pPr>
        <w:spacing w:after="0" w:line="200" w:lineRule="exact"/>
        <w:rPr>
          <w:sz w:val="24"/>
          <w:szCs w:val="24"/>
          <w:color w:val="auto"/>
        </w:rPr>
      </w:pPr>
    </w:p>
    <w:p>
      <w:pPr>
        <w:spacing w:after="0" w:line="299"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ectPr>
          <w:pgSz w:w="11900" w:h="16838" w:orient="portrait"/>
          <w:cols w:equalWidth="0" w:num="1">
            <w:col w:w="11200"/>
          </w:cols>
          <w:pgMar w:left="320" w:top="1440"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1 – Conflict Minerals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1.01 Conflict Minerals Disclosure and Report</w:t>
      </w:r>
    </w:p>
    <w:p>
      <w:pPr>
        <w:spacing w:after="0" w:line="13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A Conflict Minerals Report is an exhibit to this Form SD and can be accessed on Array Technologies, Inc.’s investor relations website at https://ir.arraytechinc.com. The content of any website referred to in this Form SD (including the exhibit) is included for general information only and is not incorporated by reference into this Form SD.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1.02 Exhibit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Conflict Minerals Report provided for in Item 1.01 is filed as Exhibit 1.01 to this Form SD.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 – Resource Extraction Issuer Disclosure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2.01 Resource Extraction Issuer Disclosure and Report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 Exhibits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3.01 Exhibits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1.01 - Conflict Minerals Report for the calendar year ended December 31, 2025.</w:t>
      </w:r>
    </w:p>
    <w:p>
      <w:pPr>
        <w:sectPr>
          <w:pgSz w:w="11900" w:h="16838" w:orient="portrait"/>
          <w:cols w:equalWidth="0" w:num="1">
            <w:col w:w="11160"/>
          </w:cols>
          <w:pgMar w:left="320" w:top="1422" w:right="419" w:bottom="1440" w:gutter="0" w:footer="0" w:header="0"/>
        </w:sectPr>
      </w:pPr>
    </w:p>
    <w:bookmarkStart w:id="2" w:name="page3"/>
    <w:bookmarkEnd w:id="2"/>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93"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Array Technologies, Inc.</w:t>
      </w:r>
    </w:p>
    <w:p>
      <w:pPr>
        <w:spacing w:after="0" w:line="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tbl>
      <w:tblPr>
        <w:tblLayout w:type="fixed"/>
        <w:tblInd w:w="60" w:type="dxa"/>
        <w:tblCellMar>
          <w:top w:w="0" w:type="dxa"/>
          <w:left w:w="0" w:type="dxa"/>
          <w:bottom w:w="0" w:type="dxa"/>
          <w:right w:w="0" w:type="dxa"/>
        </w:tblCellMar>
      </w:tblPr>
      <w:tr>
        <w:trPr>
          <w:trHeight w:val="259"/>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Date: May 29, 2026</w:t>
            </w:r>
          </w:p>
        </w:tc>
        <w:tc>
          <w:tcPr>
            <w:tcW w:w="2800" w:type="dxa"/>
            <w:vAlign w:val="bottom"/>
          </w:tcPr>
          <w:p>
            <w:pPr>
              <w:ind w:left="1800"/>
              <w:spacing w:after="0"/>
              <w:rPr>
                <w:sz w:val="20"/>
                <w:szCs w:val="20"/>
                <w:color w:val="auto"/>
              </w:rPr>
            </w:pPr>
            <w:r>
              <w:rPr>
                <w:rFonts w:ascii="Times New Roman" w:cs="Times New Roman" w:eastAsia="Times New Roman" w:hAnsi="Times New Roman"/>
                <w:sz w:val="20"/>
                <w:szCs w:val="20"/>
                <w:color w:val="auto"/>
              </w:rPr>
              <w:t>By:</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Gina K. Gunning</w:t>
            </w:r>
          </w:p>
        </w:tc>
      </w:tr>
      <w:tr>
        <w:trPr>
          <w:trHeight w:val="247"/>
        </w:trPr>
        <w:tc>
          <w:tcPr>
            <w:tcW w:w="3380" w:type="dxa"/>
            <w:vAlign w:val="bottom"/>
          </w:tcPr>
          <w:p>
            <w:pPr>
              <w:spacing w:after="0"/>
              <w:rPr>
                <w:sz w:val="21"/>
                <w:szCs w:val="21"/>
                <w:color w:val="auto"/>
              </w:rPr>
            </w:pPr>
          </w:p>
        </w:tc>
        <w:tc>
          <w:tcPr>
            <w:tcW w:w="2800" w:type="dxa"/>
            <w:vAlign w:val="bottom"/>
          </w:tcPr>
          <w:p>
            <w:pPr>
              <w:ind w:left="1800"/>
              <w:spacing w:after="0"/>
              <w:rPr>
                <w:sz w:val="20"/>
                <w:szCs w:val="20"/>
                <w:color w:val="auto"/>
              </w:rPr>
            </w:pPr>
            <w:r>
              <w:rPr>
                <w:rFonts w:ascii="Times New Roman" w:cs="Times New Roman" w:eastAsia="Times New Roman" w:hAnsi="Times New Roman"/>
                <w:sz w:val="20"/>
                <w:szCs w:val="20"/>
                <w:color w:val="auto"/>
              </w:rPr>
              <w:t>Name:</w:t>
            </w:r>
          </w:p>
        </w:tc>
        <w:tc>
          <w:tcPr>
            <w:tcW w:w="4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Gina K. Gunning</w:t>
            </w:r>
          </w:p>
        </w:tc>
      </w:tr>
      <w:tr>
        <w:trPr>
          <w:trHeight w:val="258"/>
        </w:trPr>
        <w:tc>
          <w:tcPr>
            <w:tcW w:w="3380" w:type="dxa"/>
            <w:vAlign w:val="bottom"/>
          </w:tcPr>
          <w:p>
            <w:pPr>
              <w:spacing w:after="0"/>
              <w:rPr>
                <w:sz w:val="22"/>
                <w:szCs w:val="22"/>
                <w:color w:val="auto"/>
              </w:rPr>
            </w:pPr>
          </w:p>
        </w:tc>
        <w:tc>
          <w:tcPr>
            <w:tcW w:w="2800" w:type="dxa"/>
            <w:vAlign w:val="bottom"/>
          </w:tcPr>
          <w:p>
            <w:pPr>
              <w:ind w:left="1800"/>
              <w:spacing w:after="0"/>
              <w:rPr>
                <w:sz w:val="20"/>
                <w:szCs w:val="20"/>
                <w:color w:val="auto"/>
              </w:rPr>
            </w:pPr>
            <w:r>
              <w:rPr>
                <w:rFonts w:ascii="Times New Roman" w:cs="Times New Roman" w:eastAsia="Times New Roman" w:hAnsi="Times New Roman"/>
                <w:sz w:val="20"/>
                <w:szCs w:val="20"/>
                <w:color w:val="auto"/>
              </w:rPr>
              <w:t>Title:</w:t>
            </w:r>
          </w:p>
        </w:tc>
        <w:tc>
          <w:tcPr>
            <w:tcW w:w="4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Legal Officer and Corporate Secretary</w:t>
            </w:r>
          </w:p>
        </w:tc>
      </w:tr>
    </w:tbl>
    <w:p>
      <w:pPr>
        <w:sectPr>
          <w:pgSz w:w="11900" w:h="16838" w:orient="portrait"/>
          <w:cols w:equalWidth="0" w:num="1">
            <w:col w:w="11200"/>
          </w:cols>
          <w:pgMar w:left="320" w:top="144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Conflict Minerals Report</w:t>
      </w:r>
    </w:p>
    <w:p>
      <w:pPr>
        <w:spacing w:after="0" w:line="1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This Conflict Minerals Report (this “Report”) for Array Technologies, Inc. (the “Company,” “Array,” “we” or “us”) covers the period from January 1, 2025 to December 31, 2025 (the “Reporting Period”) and is presented in accordance with Rule 13p-1 (the “Rule”) promulgated under the Securities Exchange Act of 1934, as amended.</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As used herein and consistent with the Rule, “Conflict Minerals” or “3TG” are columbite-tantalite (coltan), cassiterite, gold, wolframite, and three specified derivatives: tantalum, tin, and tungsten. 3TG that are necessary to the functionality or production of our products are referred to herein as “Necessary 3TG.” Our products that contain Necessary 3TG are referred to herein as “In-scope Products.” The terms “adjoining countries” and “armed group,” as used in this Report, have the meanings contained in the Rule.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Summary</w:t>
      </w:r>
    </w:p>
    <w:p>
      <w:pPr>
        <w:spacing w:after="0" w:line="26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Typically, we are many levels removed from the market participants that source 3TG used in the components of our products and our supply chain is constantly evolving and geographically diverse. As a result, we were unable to determine the origin of all of the Necessary 3TG contained in our In-scope Products. Due to the complexity and depth of our supply chain, and as described more fully below, we rely on our suppliers to provide information on the origin of the 3TG contained in our products.</w:t>
      </w:r>
    </w:p>
    <w:p>
      <w:pPr>
        <w:spacing w:after="0" w:line="201"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20"/>
          <w:szCs w:val="20"/>
          <w:color w:val="auto"/>
        </w:rPr>
        <w:t>This Report discusses the steps we have taken to ensure that our and our suppliers’ sourcing practices are consistent with our commitment to high moral and ethical standards and our Conflict Minerals Policy (the “Policy”), which is described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Applicability of the Conflict Minerals Rule to Our Company</w:t>
      </w:r>
    </w:p>
    <w:p>
      <w:pPr>
        <w:spacing w:after="0" w:line="26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Array is a leading global provider of solar tracking technology to utility-scale and distributed generation customers who construct, develop and operate solar photovoltaic sites. Our principal products are a portfolio of integrated solar tracking systems comprised of software and hardware that include, for example, component parts such as steel tubing, steel supports, drivelines, center structures, electric motors, motor controller assemblies, bearing assemblies, gearboxes and electronic controllers commonly referred to as a single-axis “tracker.” Trackers move solar panels throughout the day to maintain an optimal orientation to the sun, which significantly increases their energy production. For a further discussion of our products, see our Annual Report on Form 10-K for the fiscal year ended December 31, 2025 (the “Form 10-K”). The information contained in our Form 10-K is not incorporated by reference into this Report or our Form SD and should not be considered part of this Report or our Form SD.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Conflict Minerals Policy</w:t>
      </w:r>
    </w:p>
    <w:p>
      <w:pPr>
        <w:spacing w:after="0" w:line="26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Array seeks to avoid using 3TG minerals which directly or indirectly finance or benefit armed groups in the Democratic Republic of the Congo, or any adjoining countries (collectively, the “Covered Countries”). In furtherance of this commitment, and in compliance with the Rule, Array adopted the Policy to outline our ethical practices and our efforts to ensure that the 3TG minerals used in our products are sourced from responsible supply chains. The Policy can be found at https://arraytechinc.com/our-</w:t>
      </w:r>
    </w:p>
    <w:p>
      <w:pPr>
        <w:sectPr>
          <w:pgSz w:w="11900" w:h="16838" w:orient="portrait"/>
          <w:cols w:equalWidth="0" w:num="1">
            <w:col w:w="11240"/>
          </w:cols>
          <w:pgMar w:left="320" w:top="122" w:right="339" w:bottom="1440" w:gutter="0" w:footer="0" w:header="0"/>
        </w:sectPr>
      </w:pPr>
    </w:p>
    <w:bookmarkStart w:id="4" w:name="page5"/>
    <w:bookmarkEnd w:id="4"/>
    <w:p>
      <w:pPr>
        <w:spacing w:after="0" w:line="283" w:lineRule="auto"/>
        <w:rPr>
          <w:sz w:val="20"/>
          <w:szCs w:val="20"/>
          <w:color w:val="auto"/>
        </w:rPr>
      </w:pPr>
      <w:r>
        <w:rPr>
          <w:rFonts w:ascii="Times New Roman" w:cs="Times New Roman" w:eastAsia="Times New Roman" w:hAnsi="Times New Roman"/>
          <w:sz w:val="20"/>
          <w:szCs w:val="20"/>
          <w:color w:val="auto"/>
        </w:rPr>
        <w:t>story/policies/. Information contained on any website referenced in this Report is not incorporated by reference into this Report or the Form SD.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Policy states that we expect suppliers who supply or manufacture components, parts or products for Array to:</w:t>
      </w:r>
    </w:p>
    <w:p>
      <w:pPr>
        <w:spacing w:after="0" w:line="121" w:lineRule="exact"/>
        <w:rPr>
          <w:sz w:val="20"/>
          <w:szCs w:val="20"/>
          <w:color w:val="auto"/>
        </w:rPr>
      </w:pPr>
    </w:p>
    <w:p>
      <w:pPr>
        <w:ind w:left="66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familiarize themselves with the Rule and the Policy, implement policies and systems that are consistent with the Rule and the Policy and require their direct and indirect suppliers to do the same;</w:t>
      </w:r>
    </w:p>
    <w:p>
      <w:pPr>
        <w:spacing w:after="0" w:line="65"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 procedures to trace 3TG at least to the smelter or refiner level (working with their direct and indirect suppliers as applicable) and provide Array with proper verification of the country of origin and source of the materials used in the products, materials or components supplied to Array;</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respond to Array’s survey and other requests in a timely manner and with full disclosure following the specific instructions provided;</w:t>
      </w:r>
    </w:p>
    <w:p>
      <w:pPr>
        <w:spacing w:after="0" w:line="132" w:lineRule="exact"/>
        <w:rPr>
          <w:rFonts w:ascii="Times New Roman" w:cs="Times New Roman" w:eastAsia="Times New Roman" w:hAnsi="Times New Roman"/>
          <w:sz w:val="19"/>
          <w:szCs w:val="19"/>
          <w:color w:val="auto"/>
        </w:rPr>
      </w:pPr>
    </w:p>
    <w:p>
      <w:pPr>
        <w:ind w:left="660" w:right="2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Array’s request, provide Array with written certifications and other information concerning the origin of 3TG included in products, materials and components supplied to Array, and require their direct and indirect suppliers to do the same; and</w:t>
      </w:r>
    </w:p>
    <w:p>
      <w:pPr>
        <w:spacing w:after="0" w:line="65"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reasonably possible, source 3TG from smelters and refiners (collectively, “SORs”) validated as conflict free (see https://www.responsiblemineralsinitiative.org/responsible-minerals-assurance-process/) and require their direct and indirect suppliers to do the same.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Reasonable Country of Origin Inquiry</w:t>
      </w:r>
    </w:p>
    <w:p>
      <w:pPr>
        <w:spacing w:after="0" w:line="26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As required by the Rule, for 2025, we conducted a “reasonable country of origin inquiry” (“RCOI”). Our RCOI was reasonably designed to determine in good faith whether any of the 3TG in our In-scope Products originated in the Covered Countries or from recycled or scrap sources. For our RCOI, we utilized the management systems contemplated by Step One of the Organisation for Economic Co-operation and Development (“OECD”) Due Diligence Guidance for Responsible Supply Chains of Minerals from Conflict-Affected and High-Risk Areas (the “Guidance”), including the Supplement on Tin, Tantalum and Tungsten and the Supplement on Gold, and the supplier engagement process contemplated by Step Two of the Guidance. These steps and the related activities are discussed below under “Due Diligence Measures.”</w:t>
      </w:r>
    </w:p>
    <w:p>
      <w:pPr>
        <w:spacing w:after="0" w:line="20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Our product scoping process included an internal review to determine which of our product categories contain, are likely to contain, or may contain any of the 3TG, and which active suppliers manufactured those products for our Company (“Covered Suppliers”).</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To collect information for our RCOI, we sent the Conflict Minerals Reporting Template (the “CMRT”) developed by the Responsible Minerals Initiative (the “RMI”) to twelve Covered Suppliers identified in our internal review. We also provided these Covered Suppliers with a cover email and materials explaining the requirements of the Rule and our expectations for compliance with the Rule and our Policy. Upon request, we also provided our Covered Suppliers with training materials on the Rule and our Policy. Our review of the Covered Suppliers’ responses is discussed under “Due Diligence Measures.”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received completed CMRTs from 91% of our Covered Suppliers.</w:t>
      </w:r>
    </w:p>
    <w:p>
      <w:pPr>
        <w:sectPr>
          <w:pgSz w:w="11900" w:h="16838" w:orient="portrait"/>
          <w:cols w:equalWidth="0" w:num="1">
            <w:col w:w="11240"/>
          </w:cols>
          <w:pgMar w:left="320" w:top="14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Due Diligence Measures</w:t>
      </w:r>
    </w:p>
    <w:p>
      <w:pPr>
        <w:spacing w:after="0" w:line="260"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20"/>
          <w:szCs w:val="20"/>
          <w:color w:val="auto"/>
        </w:rPr>
        <w:t>We believe that we designed our due diligence measures relating to 3TG to conform with, in all material respects, the applicable criteria set forth in the Guidance.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Selected Elements of Design Framework and Due Diligence Program</w:t>
      </w:r>
    </w:p>
    <w:p>
      <w:pPr>
        <w:spacing w:after="0" w:line="26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The Guidance has established a five-step framework for due diligence as a basis for responsible global supply chain management of minerals from conflict-affected and high-risk areas. Selected elements of our program are discussed below. The headings below conform to the headings used in the OECD Guidance for each of the five steps.</w:t>
      </w:r>
    </w:p>
    <w:p>
      <w:pPr>
        <w:spacing w:after="0" w:line="19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Step One</w:t>
      </w:r>
      <w:r>
        <w:rPr>
          <w:rFonts w:ascii="Times New Roman" w:cs="Times New Roman" w:eastAsia="Times New Roman" w:hAnsi="Times New Roman"/>
          <w:sz w:val="20"/>
          <w:szCs w:val="20"/>
          <w:i w:val="1"/>
          <w:iCs w:val="1"/>
          <w:color w:val="auto"/>
        </w:rPr>
        <w:t>: Establish strong company management systems</w:t>
      </w:r>
    </w:p>
    <w:p>
      <w:pPr>
        <w:spacing w:after="0" w:line="273" w:lineRule="exact"/>
        <w:rPr>
          <w:rFonts w:ascii="Times New Roman" w:cs="Times New Roman" w:eastAsia="Times New Roman" w:hAnsi="Times New Roman"/>
          <w:sz w:val="20"/>
          <w:szCs w:val="20"/>
          <w:color w:val="auto"/>
        </w:rPr>
      </w:pPr>
    </w:p>
    <w:p>
      <w:pPr>
        <w:ind w:left="1300" w:right="20" w:hanging="320"/>
        <w:spacing w:after="0" w:line="283" w:lineRule="auto"/>
        <w:tabs>
          <w:tab w:leader="none" w:pos="1289"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maintain the Policy. As noted above, our Policy sets forth the expectation that our suppliers source materials in a responsible, ethical manner. The Policy is available on our website at https://arraytechinc.com/our-story/policies/.</w:t>
      </w:r>
    </w:p>
    <w:p>
      <w:pPr>
        <w:spacing w:after="0" w:line="18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use the CMRT developed by the RMI to gather supply chain information.</w:t>
      </w:r>
    </w:p>
    <w:p>
      <w:pPr>
        <w:spacing w:after="0" w:line="269" w:lineRule="exact"/>
        <w:rPr>
          <w:rFonts w:ascii="Times New Roman" w:cs="Times New Roman" w:eastAsia="Times New Roman" w:hAnsi="Times New Roman"/>
          <w:sz w:val="20"/>
          <w:szCs w:val="20"/>
          <w:color w:val="auto"/>
        </w:rPr>
      </w:pPr>
    </w:p>
    <w:p>
      <w:pPr>
        <w:ind w:left="1300" w:right="20" w:hanging="320"/>
        <w:spacing w:after="0" w:line="283" w:lineRule="auto"/>
        <w:tabs>
          <w:tab w:leader="none" w:pos="1289"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maintain business records relating to our 3TG due diligence, including responses to the CMRT, findings and resulting decisions, for five years.</w:t>
      </w:r>
    </w:p>
    <w:p>
      <w:pPr>
        <w:spacing w:after="0" w:line="186" w:lineRule="exact"/>
        <w:rPr>
          <w:rFonts w:ascii="Times New Roman" w:cs="Times New Roman" w:eastAsia="Times New Roman" w:hAnsi="Times New Roman"/>
          <w:sz w:val="20"/>
          <w:szCs w:val="20"/>
          <w:color w:val="auto"/>
        </w:rPr>
      </w:pPr>
    </w:p>
    <w:p>
      <w:pPr>
        <w:ind w:left="1300" w:hanging="320"/>
        <w:spacing w:after="0" w:line="297" w:lineRule="auto"/>
        <w:tabs>
          <w:tab w:leader="none" w:pos="130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standard supplier and licensee agreements contain provisions that explain the Company’s expectations and our suppliers’ obligations under the Rule. The Policy is also attached to these agreements.</w:t>
      </w:r>
    </w:p>
    <w:p>
      <w:pPr>
        <w:spacing w:after="0" w:line="173" w:lineRule="exact"/>
        <w:rPr>
          <w:rFonts w:ascii="Times New Roman" w:cs="Times New Roman" w:eastAsia="Times New Roman" w:hAnsi="Times New Roman"/>
          <w:sz w:val="20"/>
          <w:szCs w:val="20"/>
          <w:color w:val="auto"/>
        </w:rPr>
      </w:pPr>
    </w:p>
    <w:p>
      <w:pPr>
        <w:jc w:val="both"/>
        <w:ind w:left="1300" w:hanging="320"/>
        <w:spacing w:after="0" w:line="275" w:lineRule="auto"/>
        <w:tabs>
          <w:tab w:leader="none" w:pos="1289"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Associates, suppliers and other interested third parties can report potential misconduct, including violations of the Policy, through internal and external channels. Reports may be made anonymously (except as prohibited by law) online or via the telephone and are kept confidential to the extent possible.</w:t>
      </w:r>
    </w:p>
    <w:p>
      <w:pPr>
        <w:spacing w:after="0" w:line="190"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Step Two</w:t>
      </w:r>
      <w:r>
        <w:rPr>
          <w:rFonts w:ascii="Times New Roman" w:cs="Times New Roman" w:eastAsia="Times New Roman" w:hAnsi="Times New Roman"/>
          <w:sz w:val="20"/>
          <w:szCs w:val="20"/>
          <w:i w:val="1"/>
          <w:iCs w:val="1"/>
          <w:color w:val="auto"/>
        </w:rPr>
        <w:t>: Identify and assess risk in the supply chain</w:t>
      </w:r>
    </w:p>
    <w:p>
      <w:pPr>
        <w:spacing w:after="0" w:line="260" w:lineRule="exact"/>
        <w:rPr>
          <w:rFonts w:ascii="Times New Roman" w:cs="Times New Roman" w:eastAsia="Times New Roman" w:hAnsi="Times New Roman"/>
          <w:sz w:val="20"/>
          <w:szCs w:val="20"/>
          <w:color w:val="auto"/>
        </w:rPr>
      </w:pPr>
    </w:p>
    <w:p>
      <w:pPr>
        <w:jc w:val="both"/>
        <w:ind w:left="1300" w:hanging="320"/>
        <w:spacing w:after="0" w:line="268" w:lineRule="auto"/>
        <w:tabs>
          <w:tab w:leader="none" w:pos="1289"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Covered Suppliers were asked to provide us with information, through the completion of the CMRT, concerning the usage and source of 3TG in the products that they manufacture for us. For 2025, we sent emails to each of our twelve Covered Suppliers explaining our obligations under the Rule and the Policy and requesting that they complete the CMRT. We followed up by email with all Covered Suppliers that did not respond within a specified timeframe.</w:t>
      </w:r>
    </w:p>
    <w:p>
      <w:pPr>
        <w:spacing w:after="0" w:line="214" w:lineRule="exact"/>
        <w:rPr>
          <w:rFonts w:ascii="Times New Roman" w:cs="Times New Roman" w:eastAsia="Times New Roman" w:hAnsi="Times New Roman"/>
          <w:sz w:val="20"/>
          <w:szCs w:val="20"/>
          <w:color w:val="auto"/>
        </w:rPr>
      </w:pPr>
    </w:p>
    <w:p>
      <w:pPr>
        <w:ind w:left="1300" w:hanging="320"/>
        <w:spacing w:after="0" w:line="283" w:lineRule="auto"/>
        <w:tabs>
          <w:tab w:leader="none" w:pos="130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reviewed the Covered Suppliers’ completed CMRTs and followed up on any response that appeared to be inaccurate or incomplete. In each case, we requested a revised or more detailed response and continued to follow up as appropriate.</w:t>
      </w:r>
    </w:p>
    <w:p>
      <w:pPr>
        <w:sectPr>
          <w:pgSz w:w="11900" w:h="16838" w:orient="portrait"/>
          <w:cols w:equalWidth="0" w:num="1">
            <w:col w:w="11240"/>
          </w:cols>
          <w:pgMar w:left="320" w:top="1422" w:right="339" w:bottom="1440" w:gutter="0" w:footer="0" w:header="0"/>
        </w:sectPr>
      </w:pPr>
    </w:p>
    <w:bookmarkStart w:id="6" w:name="page7"/>
    <w:bookmarkEnd w:id="6"/>
    <w:p>
      <w:pPr>
        <w:jc w:val="both"/>
        <w:ind w:left="1300" w:hanging="320"/>
        <w:spacing w:after="0" w:line="275" w:lineRule="auto"/>
        <w:tabs>
          <w:tab w:leader="none" w:pos="1289"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reviewed the smelter and refiner information provided by the Covered Suppliers against the CMRT’s Smelter Look-up tab list. Smelter and refiner information was also reviewed against the lists of “conformant” and “active” SORs published by the RMI.</w:t>
      </w:r>
    </w:p>
    <w:p>
      <w:pPr>
        <w:spacing w:after="0" w:line="194" w:lineRule="exact"/>
        <w:rPr>
          <w:rFonts w:ascii="Times New Roman" w:cs="Times New Roman" w:eastAsia="Times New Roman" w:hAnsi="Times New Roman"/>
          <w:sz w:val="20"/>
          <w:szCs w:val="20"/>
          <w:color w:val="auto"/>
        </w:rPr>
      </w:pPr>
    </w:p>
    <w:p>
      <w:pPr>
        <w:jc w:val="both"/>
        <w:ind w:left="1300" w:hanging="320"/>
        <w:spacing w:after="0" w:line="264" w:lineRule="auto"/>
        <w:tabs>
          <w:tab w:leader="none" w:pos="130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 smelter or refiner identified by a Covered Supplier was not listed as “active” or “conformant” by the RMI, we followed up with the Covered Supplier regarding whether the smelter or refiner was in our supply chain. For 2025, 57% of the SORs identified by our Covered Suppliers as a potential source of Necessary 3TG were listed as “conformant.” Based on the information received from the Covered Suppliers, it is inconclusive whether any of the identified SORs not listed as “active” or “conformant” processed Necessary 3TG contained in our In-scope Products.</w:t>
      </w:r>
    </w:p>
    <w:p>
      <w:pPr>
        <w:spacing w:after="0" w:line="216"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Step Three</w:t>
      </w:r>
      <w:r>
        <w:rPr>
          <w:rFonts w:ascii="Times New Roman" w:cs="Times New Roman" w:eastAsia="Times New Roman" w:hAnsi="Times New Roman"/>
          <w:sz w:val="20"/>
          <w:szCs w:val="20"/>
          <w:i w:val="1"/>
          <w:iCs w:val="1"/>
          <w:color w:val="auto"/>
        </w:rPr>
        <w:t>: Design and implement a strategy to respond to identified risks</w:t>
      </w:r>
    </w:p>
    <w:p>
      <w:pPr>
        <w:spacing w:after="0" w:line="260" w:lineRule="exact"/>
        <w:rPr>
          <w:rFonts w:ascii="Times New Roman" w:cs="Times New Roman" w:eastAsia="Times New Roman" w:hAnsi="Times New Roman"/>
          <w:sz w:val="20"/>
          <w:szCs w:val="20"/>
          <w:color w:val="auto"/>
        </w:rPr>
      </w:pPr>
    </w:p>
    <w:p>
      <w:pPr>
        <w:ind w:left="1300" w:right="440" w:hanging="320"/>
        <w:spacing w:after="0" w:line="283" w:lineRule="auto"/>
        <w:tabs>
          <w:tab w:leader="none" w:pos="1289"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Associate General Counsel reported the findings of our Conflict Minerals supply chain risk assessment to our Chief Legal Officer and Corporate Secretary.</w:t>
      </w:r>
    </w:p>
    <w:p>
      <w:pPr>
        <w:spacing w:after="0" w:line="200" w:lineRule="exact"/>
        <w:rPr>
          <w:rFonts w:ascii="Times New Roman" w:cs="Times New Roman" w:eastAsia="Times New Roman" w:hAnsi="Times New Roman"/>
          <w:sz w:val="20"/>
          <w:szCs w:val="20"/>
          <w:color w:val="auto"/>
        </w:rPr>
      </w:pPr>
    </w:p>
    <w:p>
      <w:pPr>
        <w:ind w:left="1300" w:right="540" w:hanging="320"/>
        <w:spacing w:after="0" w:line="283" w:lineRule="auto"/>
        <w:tabs>
          <w:tab w:leader="none" w:pos="13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address identified risks on a case-by-case basis. This flexible approach enables us to tailor the response to the risks identified.</w:t>
      </w:r>
    </w:p>
    <w:p>
      <w:pPr>
        <w:spacing w:after="0" w:line="182"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Step Four</w:t>
      </w:r>
      <w:r>
        <w:rPr>
          <w:rFonts w:ascii="Times New Roman" w:cs="Times New Roman" w:eastAsia="Times New Roman" w:hAnsi="Times New Roman"/>
          <w:sz w:val="20"/>
          <w:szCs w:val="20"/>
          <w:i w:val="1"/>
          <w:iCs w:val="1"/>
          <w:color w:val="auto"/>
        </w:rPr>
        <w:t>: Carry out independent third-party audits of supply chain due diligence at identified points in the supply chain</w:t>
      </w:r>
    </w:p>
    <w:p>
      <w:pPr>
        <w:spacing w:after="0" w:line="273" w:lineRule="exact"/>
        <w:rPr>
          <w:rFonts w:ascii="Times New Roman" w:cs="Times New Roman" w:eastAsia="Times New Roman" w:hAnsi="Times New Roman"/>
          <w:sz w:val="20"/>
          <w:szCs w:val="20"/>
          <w:color w:val="auto"/>
        </w:rPr>
      </w:pPr>
    </w:p>
    <w:p>
      <w:pPr>
        <w:ind w:left="1300" w:hanging="320"/>
        <w:spacing w:after="0" w:line="283" w:lineRule="auto"/>
        <w:tabs>
          <w:tab w:leader="none" w:pos="1289"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utilize information made available by the RMI concerning independent third-party audits of SORs to assess the compliance practices of identified SORs.</w:t>
      </w:r>
    </w:p>
    <w:p>
      <w:pPr>
        <w:spacing w:after="0" w:line="182"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Step Five</w:t>
      </w:r>
      <w:r>
        <w:rPr>
          <w:rFonts w:ascii="Times New Roman" w:cs="Times New Roman" w:eastAsia="Times New Roman" w:hAnsi="Times New Roman"/>
          <w:sz w:val="20"/>
          <w:szCs w:val="20"/>
          <w:i w:val="1"/>
          <w:iCs w:val="1"/>
          <w:color w:val="auto"/>
        </w:rPr>
        <w:t>: Report on supply chain due diligence</w:t>
      </w:r>
    </w:p>
    <w:p>
      <w:pPr>
        <w:spacing w:after="0" w:line="273" w:lineRule="exact"/>
        <w:rPr>
          <w:rFonts w:ascii="Times New Roman" w:cs="Times New Roman" w:eastAsia="Times New Roman" w:hAnsi="Times New Roman"/>
          <w:sz w:val="20"/>
          <w:szCs w:val="20"/>
          <w:color w:val="auto"/>
        </w:rPr>
      </w:pPr>
    </w:p>
    <w:p>
      <w:pPr>
        <w:ind w:left="1300" w:hanging="320"/>
        <w:spacing w:after="0" w:line="283" w:lineRule="auto"/>
        <w:tabs>
          <w:tab w:leader="none" w:pos="1289"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file a Form SD and a Conflict Minerals Report with the Securities and Exchange Commission (the “SEC”) and make these filings available on our website.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 Information</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motors, motor control assemblies, and electronic controllers were determined to be our only In-scope Products for the Reporting Period.</w:t>
      </w:r>
    </w:p>
    <w:p>
      <w:pPr>
        <w:spacing w:after="0" w:line="26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Our Covered Suppliers identified a total of 372 SORs that potentially sourced 3TG for our In-scope Products for 2025. As of May 1, 2026, 213 of these SORs, or approximately 57%, were listed as “conformant” and 3, or approximately 1%, were listed as “active” by the RMI. Additional information concerning the identified SORs is provided below.</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206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Metal</w:t>
            </w:r>
          </w:p>
        </w:tc>
        <w:tc>
          <w:tcPr>
            <w:tcW w:w="3380" w:type="dxa"/>
            <w:vAlign w:val="bottom"/>
            <w:tcBorders>
              <w:top w:val="single" w:sz="8" w:color="auto"/>
              <w:bottom w:val="single" w:sz="8" w:color="auto"/>
              <w:right w:val="single" w:sz="8" w:color="auto"/>
            </w:tcBorders>
            <w:shd w:val="clear" w:color="auto" w:fill="D9D9D9"/>
          </w:tcPr>
          <w:p>
            <w:pPr>
              <w:ind w:left="700"/>
              <w:spacing w:after="0"/>
              <w:rPr>
                <w:sz w:val="20"/>
                <w:szCs w:val="20"/>
                <w:color w:val="auto"/>
              </w:rPr>
            </w:pPr>
            <w:r>
              <w:rPr>
                <w:rFonts w:ascii="Times New Roman" w:cs="Times New Roman" w:eastAsia="Times New Roman" w:hAnsi="Times New Roman"/>
                <w:sz w:val="20"/>
                <w:szCs w:val="20"/>
                <w:b w:val="1"/>
                <w:bCs w:val="1"/>
                <w:color w:val="auto"/>
              </w:rPr>
              <w:t>Total Number of SORs</w:t>
            </w:r>
          </w:p>
        </w:tc>
        <w:tc>
          <w:tcPr>
            <w:tcW w:w="29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Conformant SORs</w:t>
            </w:r>
          </w:p>
        </w:tc>
        <w:tc>
          <w:tcPr>
            <w:tcW w:w="280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Active SORs</w:t>
            </w:r>
          </w:p>
        </w:tc>
      </w:tr>
      <w:tr>
        <w:trPr>
          <w:trHeight w:val="26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Gold</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187</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92</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r>
      <w:tr>
        <w:trPr>
          <w:trHeight w:val="264"/>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Tantalum</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42</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34</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r>
      <w:tr>
        <w:trPr>
          <w:trHeight w:val="26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3"/>
              </w:rPr>
              <w:t>Tin</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84</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52</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r>
    </w:tbl>
    <w:p>
      <w:pPr>
        <w:sectPr>
          <w:pgSz w:w="11900" w:h="16838" w:orient="portrait"/>
          <w:cols w:equalWidth="0" w:num="1">
            <w:col w:w="11240"/>
          </w:cols>
          <w:pgMar w:left="320" w:top="1426" w:right="339" w:bottom="1440" w:gutter="0" w:footer="0" w:header="0"/>
        </w:sectPr>
      </w:pPr>
    </w:p>
    <w:bookmarkStart w:id="7" w:name="page8"/>
    <w:bookmarkEnd w:id="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20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Tungsten</w:t>
            </w:r>
          </w:p>
        </w:tc>
        <w:tc>
          <w:tcPr>
            <w:tcW w:w="3380" w:type="dxa"/>
            <w:vAlign w:val="bottom"/>
            <w:tcBorders>
              <w:top w:val="single" w:sz="8" w:color="auto"/>
              <w:bottom w:val="single" w:sz="8" w:color="auto"/>
              <w:right w:val="single" w:sz="8" w:color="auto"/>
            </w:tcBorders>
          </w:tcPr>
          <w:p>
            <w:pPr>
              <w:jc w:val="right"/>
              <w:ind w:right="1501"/>
              <w:spacing w:after="0"/>
              <w:rPr>
                <w:sz w:val="20"/>
                <w:szCs w:val="20"/>
                <w:color w:val="auto"/>
              </w:rPr>
            </w:pPr>
            <w:r>
              <w:rPr>
                <w:rFonts w:ascii="Times New Roman" w:cs="Times New Roman" w:eastAsia="Times New Roman" w:hAnsi="Times New Roman"/>
                <w:sz w:val="20"/>
                <w:szCs w:val="20"/>
                <w:color w:val="auto"/>
              </w:rPr>
              <w:t>59</w:t>
            </w:r>
          </w:p>
        </w:tc>
        <w:tc>
          <w:tcPr>
            <w:tcW w:w="2960" w:type="dxa"/>
            <w:vAlign w:val="bottom"/>
            <w:tcBorders>
              <w:top w:val="single" w:sz="8" w:color="auto"/>
              <w:bottom w:val="single" w:sz="8" w:color="auto"/>
              <w:right w:val="single" w:sz="8" w:color="auto"/>
            </w:tcBorders>
          </w:tcPr>
          <w:p>
            <w:pPr>
              <w:jc w:val="right"/>
              <w:ind w:right="1301"/>
              <w:spacing w:after="0"/>
              <w:rPr>
                <w:sz w:val="20"/>
                <w:szCs w:val="20"/>
                <w:color w:val="auto"/>
              </w:rPr>
            </w:pPr>
            <w:r>
              <w:rPr>
                <w:rFonts w:ascii="Times New Roman" w:cs="Times New Roman" w:eastAsia="Times New Roman" w:hAnsi="Times New Roman"/>
                <w:sz w:val="20"/>
                <w:szCs w:val="20"/>
                <w:color w:val="auto"/>
              </w:rPr>
              <w:t>35</w:t>
            </w:r>
          </w:p>
        </w:tc>
        <w:tc>
          <w:tcPr>
            <w:tcW w:w="2800" w:type="dxa"/>
            <w:vAlign w:val="bottom"/>
            <w:tcBorders>
              <w:top w:val="single" w:sz="8" w:color="auto"/>
              <w:bottom w:val="single" w:sz="8" w:color="auto"/>
              <w:right w:val="single" w:sz="8" w:color="auto"/>
            </w:tcBorders>
          </w:tcPr>
          <w:p>
            <w:pPr>
              <w:jc w:val="right"/>
              <w:ind w:right="1261"/>
              <w:spacing w:after="0"/>
              <w:rPr>
                <w:sz w:val="20"/>
                <w:szCs w:val="20"/>
                <w:color w:val="auto"/>
              </w:rPr>
            </w:pPr>
            <w:r>
              <w:rPr>
                <w:rFonts w:ascii="Times New Roman" w:cs="Times New Roman" w:eastAsia="Times New Roman" w:hAnsi="Times New Roman"/>
                <w:sz w:val="20"/>
                <w:szCs w:val="20"/>
                <w:color w:val="auto"/>
              </w:rPr>
              <w:t>1</w:t>
            </w:r>
          </w:p>
        </w:tc>
      </w:tr>
      <w:tr>
        <w:trPr>
          <w:trHeight w:val="26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4"/>
              </w:rPr>
              <w:t>Total</w:t>
            </w:r>
          </w:p>
        </w:tc>
        <w:tc>
          <w:tcPr>
            <w:tcW w:w="3380" w:type="dxa"/>
            <w:vAlign w:val="bottom"/>
            <w:tcBorders>
              <w:bottom w:val="single" w:sz="8" w:color="auto"/>
              <w:right w:val="single" w:sz="8" w:color="auto"/>
            </w:tcBorders>
          </w:tcPr>
          <w:p>
            <w:pPr>
              <w:jc w:val="right"/>
              <w:ind w:right="1461"/>
              <w:spacing w:after="0"/>
              <w:rPr>
                <w:sz w:val="20"/>
                <w:szCs w:val="20"/>
                <w:color w:val="auto"/>
              </w:rPr>
            </w:pPr>
            <w:r>
              <w:rPr>
                <w:rFonts w:ascii="Times New Roman" w:cs="Times New Roman" w:eastAsia="Times New Roman" w:hAnsi="Times New Roman"/>
                <w:sz w:val="20"/>
                <w:szCs w:val="20"/>
                <w:color w:val="auto"/>
              </w:rPr>
              <w:t>372</w:t>
            </w:r>
          </w:p>
        </w:tc>
        <w:tc>
          <w:tcPr>
            <w:tcW w:w="2960" w:type="dxa"/>
            <w:vAlign w:val="bottom"/>
            <w:tcBorders>
              <w:bottom w:val="single" w:sz="8" w:color="auto"/>
              <w:right w:val="single" w:sz="8" w:color="auto"/>
            </w:tcBorders>
          </w:tcPr>
          <w:p>
            <w:pPr>
              <w:jc w:val="right"/>
              <w:ind w:right="1241"/>
              <w:spacing w:after="0"/>
              <w:rPr>
                <w:sz w:val="20"/>
                <w:szCs w:val="20"/>
                <w:color w:val="auto"/>
              </w:rPr>
            </w:pPr>
            <w:r>
              <w:rPr>
                <w:rFonts w:ascii="Times New Roman" w:cs="Times New Roman" w:eastAsia="Times New Roman" w:hAnsi="Times New Roman"/>
                <w:sz w:val="20"/>
                <w:szCs w:val="20"/>
                <w:color w:val="auto"/>
              </w:rPr>
              <w:t>213</w:t>
            </w:r>
          </w:p>
        </w:tc>
        <w:tc>
          <w:tcPr>
            <w:tcW w:w="2800" w:type="dxa"/>
            <w:vAlign w:val="bottom"/>
            <w:tcBorders>
              <w:bottom w:val="single" w:sz="8" w:color="auto"/>
              <w:right w:val="single" w:sz="8" w:color="auto"/>
            </w:tcBorders>
          </w:tcPr>
          <w:p>
            <w:pPr>
              <w:jc w:val="right"/>
              <w:ind w:right="1261"/>
              <w:spacing w:after="0"/>
              <w:rPr>
                <w:sz w:val="20"/>
                <w:szCs w:val="20"/>
                <w:color w:val="auto"/>
              </w:rPr>
            </w:pPr>
            <w:r>
              <w:rPr>
                <w:rFonts w:ascii="Times New Roman" w:cs="Times New Roman" w:eastAsia="Times New Roman" w:hAnsi="Times New Roman"/>
                <w:sz w:val="20"/>
                <w:szCs w:val="20"/>
                <w:color w:val="auto"/>
              </w:rPr>
              <w:t>3</w:t>
            </w:r>
          </w:p>
        </w:tc>
      </w:tr>
    </w:tbl>
    <w:p>
      <w:pPr>
        <w:spacing w:after="0" w:line="32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color w:val="auto"/>
        </w:rPr>
        <w:t>Not all of the SORs included may have processed the Necessary 3TG contained in our In-scope Products. Some Suppliers may have reported SORs that were not in our supply chain due to over-inclusiveness in the information received from their suppliers or for other reasons. In addition, the SORs reflected above may not include all of the SORs in our supply chain, since some suppliers did not identify all of the SORs used to process the Necessary 3TG content contained in our In-scope Products or provided data at a “company” level (i.e., the responses pertained to all of the Covered Supplier’s products, rather than only those sold to us) and not at a “product” level.</w:t>
      </w:r>
    </w:p>
    <w:p>
      <w:pPr>
        <w:spacing w:after="0" w:line="2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We have not determined the country of origin of the Necessary 3TG in our In-scope Products processed by the SORs. As indicated above, certain of the Covered Suppliers provided information at a “company” level and not a “product” level. Additionally, the “product” level responses did not include the country of origin of the Necessary 3TG in our In-scope Products processed by the SORs and this information was unavailable through public sources known to 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Risk Mitigation Efforts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order to mitigate further the risk that the Necessary 3TG contained in our In-scope Products benefit armed groups, for 2026, we plan to:</w:t>
      </w:r>
    </w:p>
    <w:p>
      <w:pPr>
        <w:spacing w:after="0" w:line="25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with the due diligence processes explained above and review to improve them as necessary;</w:t>
      </w:r>
    </w:p>
    <w:p>
      <w:pPr>
        <w:spacing w:after="0" w:line="269"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Communicate to new potentially in-scope suppliers our sourcing expectations, including through the dissemination of the Policy to them. In addition, as new in-scope suppliers are added, work with these suppliers to ensure that they understand the requirements of the Rule and the Guidance;</w:t>
      </w:r>
    </w:p>
    <w:p>
      <w:pPr>
        <w:spacing w:after="0" w:line="21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training to selected Array supply chain personnel; and</w:t>
      </w:r>
    </w:p>
    <w:p>
      <w:pPr>
        <w:spacing w:after="0" w:line="256"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Monitor selected industry initiatives to identify SORs in the supply chain.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Certain statements contained in this Report, including those made under the “Additional Risk Mitigation Efforts” section, constitute “forward-looking statements” within the meaning of federal securities laws. These forward-looking statements are based upon management’s current expectations, predictions, estimates, assumptions and beliefs concerning future events and conditions. Any statement that is not historical in nature is a forward-looking statement and may be identified by the use of words and phrases such as “anticipate,” “aspire,” “believe,” “could,” “estimate,” “expect,” “goal,” “intend,” “may,” “plan,” “potential,” “project,” “seek,” “should,” “strive,” “target,” “will,” or “would” or the negative thereof or comparable terminology.</w:t>
      </w:r>
    </w:p>
    <w:p>
      <w:pPr>
        <w:sectPr>
          <w:pgSz w:w="11900" w:h="16838" w:orient="portrait"/>
          <w:cols w:equalWidth="0" w:num="1">
            <w:col w:w="11240"/>
          </w:cols>
          <w:pgMar w:left="320" w:top="1440" w:right="3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20"/>
          <w:szCs w:val="20"/>
          <w:color w:val="auto"/>
        </w:rPr>
        <w:t>Readers are cautioned not to place undue reliance on any forward-looking statements. Forward-looking statements are necessarily subject to risks, uncertainties and other factors, many of which are outside the control of the Company and could cause actual results to differ materially from such statements and from the Company’s historical results, performance and experience. These risks, uncertainties and other factors include such things as: (a) the responsible sourcing of Conflict Minerals in our supply chain by our direct and indirect suppliers; (b) the effectiveness of traceability systems used by our direct and indirect suppliers to determine the source and chain of custody of Conflict Minerals contained in our supply chain; (c) the effectiveness of our due diligence processes used to determine the source of Conflict Minerals in our supply chain; and (d) other risks, uncertainties and other factors described from time to time in the Company’s reports filed with the SEC.</w:t>
      </w:r>
    </w:p>
    <w:p>
      <w:pPr>
        <w:spacing w:after="0" w:line="2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Readers are cautioned that it is not possible to predict or identify all of the risks, uncertainties and other factors that may affect future results and that the above list should not be considered to be a complete list. Any forward-looking statement speaks only as of the date on which such statement is made, and the Company undertakes no obligation to update or revise any forward-looking statement, whether as a result of new information, future events or otherwise, except as otherwise required by law.</w:t>
      </w:r>
    </w:p>
    <w:sectPr>
      <w:pgSz w:w="11900" w:h="16838" w:orient="portrait"/>
      <w:cols w:equalWidth="0" w:num="1">
        <w:col w:w="11240"/>
      </w:cols>
      <w:pgMar w:left="320" w:top="14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3"/>
    </w:lvl>
  </w:abstractNum>
  <w:abstractNum w:abstractNumId="5">
    <w:nsid w:val="2EB141F2"/>
    <w:multiLevelType w:val="hybridMultilevel"/>
    <w:lvl w:ilvl="0">
      <w:lvlJc w:val="left"/>
      <w:lvlText w:val="%1."/>
      <w:numFmt w:val="decimal"/>
      <w:start w:val="3"/>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2026-05-29T16:40:00Z</dcterms:created>
  <dcterms:modified xsi:type="dcterms:W3CDTF">2026-05-29T16:40:00Z</dcterms:modified>
</cp:coreProperties>
</file>